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69B3" w:rsidRDefault="006B5598">
      <w:pPr>
        <w:rPr>
          <w:rFonts w:ascii="Trebuchet MS" w:hAnsi="Trebuchet MS" w:cs="Trebuchet MS"/>
          <w:sz w:val="24"/>
          <w:szCs w:val="24"/>
        </w:rPr>
      </w:pPr>
      <w:r>
        <w:rPr>
          <w:rFonts w:ascii="Trebuchet MS" w:hAnsi="Trebuchet MS" w:cs="Trebuchet MS"/>
          <w:b/>
          <w:bCs/>
          <w:sz w:val="28"/>
          <w:szCs w:val="28"/>
        </w:rPr>
        <w:t>Bewegungen müssen kulturelle Gestaltungskräfte in Europa werden</w:t>
      </w:r>
    </w:p>
    <w:p w:rsidR="005669B3" w:rsidRDefault="006B5598" w:rsidP="00FA6620">
      <w:pPr>
        <w:jc w:val="both"/>
        <w:rPr>
          <w:rFonts w:ascii="Trebuchet MS" w:hAnsi="Trebuchet MS" w:cs="Trebuchet MS"/>
          <w:sz w:val="24"/>
          <w:szCs w:val="24"/>
        </w:rPr>
      </w:pPr>
      <w:r>
        <w:rPr>
          <w:rFonts w:ascii="Trebuchet MS" w:hAnsi="Trebuchet MS" w:cs="Trebuchet MS"/>
          <w:sz w:val="24"/>
          <w:szCs w:val="24"/>
        </w:rPr>
        <w:t>„Europa im Augenblick“ war der Titel des zweiten Tages des ökumenischen Kongresses des europäischen Netzwerkes von „Miteinander für Europa“ in München.</w:t>
      </w:r>
    </w:p>
    <w:p w:rsidR="005669B3" w:rsidRDefault="006B5598" w:rsidP="00FA6620">
      <w:pPr>
        <w:jc w:val="both"/>
        <w:rPr>
          <w:rFonts w:ascii="Trebuchet MS" w:hAnsi="Trebuchet MS" w:cs="Trebuchet MS"/>
          <w:sz w:val="24"/>
          <w:szCs w:val="24"/>
        </w:rPr>
      </w:pPr>
      <w:r>
        <w:rPr>
          <w:rFonts w:ascii="Trebuchet MS" w:hAnsi="Trebuchet MS" w:cs="Trebuchet MS"/>
          <w:sz w:val="24"/>
          <w:szCs w:val="24"/>
        </w:rPr>
        <w:t xml:space="preserve">Michael Hochschild, Forschungsdirektor und Professor für postmodernes Denken am </w:t>
      </w:r>
      <w:proofErr w:type="spellStart"/>
      <w:r>
        <w:rPr>
          <w:rFonts w:ascii="Trebuchet MS" w:hAnsi="Trebuchet MS" w:cs="Trebuchet MS"/>
          <w:sz w:val="24"/>
          <w:szCs w:val="24"/>
        </w:rPr>
        <w:t>TimeLab</w:t>
      </w:r>
      <w:proofErr w:type="spellEnd"/>
      <w:r>
        <w:rPr>
          <w:rFonts w:ascii="Trebuchet MS" w:hAnsi="Trebuchet MS" w:cs="Trebuchet MS"/>
          <w:sz w:val="24"/>
          <w:szCs w:val="24"/>
        </w:rPr>
        <w:t xml:space="preserve"> in Paris, unterstrich die gesellschaftspolitische Bedeutung der Bewegungen und geistlichen Gemeinschaften in Europa. Sie seien die Antwort auf die Frage, ob die Hoffnung eine Zukunft habe, denn sie zeigten schon heute, wie es morgen anders gehen könnte. „Wir stecken in einer tiefen Systemkrise der modernen Gesellschaft. Das Betriebssystem der Gesellschaft funktioniert nicht mehr. Sie als Bewegungen schaffen das nötige Vertrauen in die Zukunft. Dafür müssen Sie sich aber noch stärker als kulturelle Gestaltungskräfte verstehen und zeigen. Sie müssen 'soziale Bewegungen' werden.</w:t>
      </w:r>
    </w:p>
    <w:p w:rsidR="005669B3" w:rsidRDefault="006B5598" w:rsidP="00FA6620">
      <w:pPr>
        <w:jc w:val="both"/>
        <w:rPr>
          <w:rFonts w:ascii="Trebuchet MS" w:hAnsi="Trebuchet MS" w:cs="Trebuchet MS"/>
          <w:sz w:val="24"/>
          <w:szCs w:val="24"/>
        </w:rPr>
      </w:pPr>
      <w:r>
        <w:rPr>
          <w:rFonts w:ascii="Trebuchet MS" w:hAnsi="Trebuchet MS" w:cs="Trebuchet MS"/>
          <w:sz w:val="24"/>
          <w:szCs w:val="24"/>
        </w:rPr>
        <w:t>In einer Zeit der Ratlosigkeit und der Visionsarmut böten Gemeinschaften, wie sie im „Miteinander für Europa“ engagiert seien, alternative Lebensmodelle.</w:t>
      </w:r>
    </w:p>
    <w:p w:rsidR="005669B3" w:rsidRDefault="006B5598" w:rsidP="00FA6620">
      <w:pPr>
        <w:jc w:val="both"/>
        <w:rPr>
          <w:rFonts w:ascii="Trebuchet MS" w:hAnsi="Trebuchet MS" w:cs="Trebuchet MS"/>
          <w:sz w:val="24"/>
          <w:szCs w:val="24"/>
        </w:rPr>
      </w:pPr>
      <w:r>
        <w:rPr>
          <w:rFonts w:ascii="Trebuchet MS" w:hAnsi="Trebuchet MS" w:cs="Trebuchet MS"/>
          <w:sz w:val="24"/>
          <w:szCs w:val="24"/>
        </w:rPr>
        <w:t>Auch zum Thema der Versöhnung sieht Hochschild die geistlichen Bewegungen als wichtige Kraft an der Basis der Kirchen: „Das Miteinander der geistlichen Bewegungen und ihrer Kirchen ist dabei entscheidend: Nur eine versöhnte Kirche kann einen glaubwürdigen Beitrag zur Versöhnung leisten.  Wo sie sich zu ihrer kulturellen Gestaltungskraft bekennen, machen Sie deutlich, dass es zur aktuellen Krise eine Alternative, ja ein Morgen gibt.</w:t>
      </w:r>
      <w:r w:rsidR="00FA6620">
        <w:rPr>
          <w:rFonts w:ascii="Trebuchet MS" w:hAnsi="Trebuchet MS" w:cs="Trebuchet MS"/>
          <w:sz w:val="24"/>
          <w:szCs w:val="24"/>
        </w:rPr>
        <w:t>.</w:t>
      </w:r>
      <w:r>
        <w:rPr>
          <w:rFonts w:ascii="Trebuchet MS" w:hAnsi="Trebuchet MS" w:cs="Trebuchet MS"/>
          <w:sz w:val="24"/>
          <w:szCs w:val="24"/>
        </w:rPr>
        <w:t xml:space="preserve">.“ </w:t>
      </w:r>
    </w:p>
    <w:p w:rsidR="006B5598" w:rsidRDefault="006B5598" w:rsidP="00FA6620">
      <w:pPr>
        <w:jc w:val="both"/>
      </w:pPr>
      <w:r>
        <w:rPr>
          <w:rFonts w:ascii="Trebuchet MS" w:hAnsi="Trebuchet MS" w:cs="Trebuchet MS"/>
          <w:sz w:val="24"/>
          <w:szCs w:val="24"/>
        </w:rPr>
        <w:t xml:space="preserve">Herbert </w:t>
      </w:r>
      <w:proofErr w:type="spellStart"/>
      <w:r>
        <w:rPr>
          <w:rFonts w:ascii="Trebuchet MS" w:hAnsi="Trebuchet MS" w:cs="Trebuchet MS"/>
          <w:sz w:val="24"/>
          <w:szCs w:val="24"/>
        </w:rPr>
        <w:t>Lauenroth</w:t>
      </w:r>
      <w:proofErr w:type="spellEnd"/>
      <w:r>
        <w:rPr>
          <w:rFonts w:ascii="Trebuchet MS" w:hAnsi="Trebuchet MS" w:cs="Trebuchet MS"/>
          <w:sz w:val="24"/>
          <w:szCs w:val="24"/>
        </w:rPr>
        <w:t xml:space="preserve">, Kulturwissenschaftler am Ökumenischen Lebenszentrum in </w:t>
      </w:r>
      <w:proofErr w:type="spellStart"/>
      <w:r>
        <w:rPr>
          <w:rFonts w:ascii="Trebuchet MS" w:hAnsi="Trebuchet MS" w:cs="Trebuchet MS"/>
          <w:sz w:val="24"/>
          <w:szCs w:val="24"/>
        </w:rPr>
        <w:t>Ottmaring</w:t>
      </w:r>
      <w:proofErr w:type="spellEnd"/>
      <w:r>
        <w:rPr>
          <w:rFonts w:ascii="Trebuchet MS" w:hAnsi="Trebuchet MS" w:cs="Trebuchet MS"/>
          <w:sz w:val="24"/>
          <w:szCs w:val="24"/>
        </w:rPr>
        <w:t xml:space="preserve"> (Augsburg), deutete die aktuelle Situation in Europa als Reaktion der Angst und Unsicherheit auf ein Gefühl existentieller Enge. Doch gleichzeitig liege genau darin eine Herausforderung: „Angst vor der Zukunft kann genau das sein, was uns zwingt, alles dafür zu tun, dass die Zukunft besser wird.“ Die Angst könne zur Lernerfahrung werden: „Es geht darum, das Unbekannte, Fremde und Randständige zu bevorzugen als Lernort des Glaubens.“ Durch die Auseinandersetzung mit den Abgründen, denen die Gesellschaft gerade aktuell begegne, sei eine neue Orientierung auf die Quellen des Glaubens möglich. Es brauche eine „Schubumkehr“ im Sinne einer neuen Ausrichtung auf die Inhalte des Glaubens, Gott bewirke </w:t>
      </w:r>
      <w:proofErr w:type="spellStart"/>
      <w:r>
        <w:rPr>
          <w:rFonts w:ascii="Trebuchet MS" w:hAnsi="Trebuchet MS" w:cs="Trebuchet MS"/>
          <w:sz w:val="24"/>
          <w:szCs w:val="24"/>
        </w:rPr>
        <w:t>Ent</w:t>
      </w:r>
      <w:proofErr w:type="spellEnd"/>
      <w:r>
        <w:rPr>
          <w:rFonts w:ascii="Trebuchet MS" w:hAnsi="Trebuchet MS" w:cs="Trebuchet MS"/>
          <w:sz w:val="24"/>
          <w:szCs w:val="24"/>
        </w:rPr>
        <w:t>-Ängstigung und das sei die Basis für eine neue, notwendige Kultur des Vertrauens in Europa.</w:t>
      </w:r>
    </w:p>
    <w:sectPr w:rsidR="006B5598" w:rsidSect="005669B3">
      <w:headerReference w:type="default" r:id="rId6"/>
      <w:footerReference w:type="even" r:id="rId7"/>
      <w:footerReference w:type="default" r:id="rId8"/>
      <w:headerReference w:type="first" r:id="rId9"/>
      <w:footerReference w:type="first" r:id="rId10"/>
      <w:pgSz w:w="11906" w:h="16838"/>
      <w:pgMar w:top="2760" w:right="804" w:bottom="2179" w:left="1134" w:header="495" w:footer="1134"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766" w:rsidRDefault="00832766">
      <w:pPr>
        <w:spacing w:after="0" w:line="240" w:lineRule="auto"/>
      </w:pPr>
      <w:r>
        <w:separator/>
      </w:r>
    </w:p>
  </w:endnote>
  <w:endnote w:type="continuationSeparator" w:id="0">
    <w:p w:rsidR="00832766" w:rsidRDefault="008327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B3" w:rsidRDefault="005669B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B3" w:rsidRDefault="006B5598">
    <w:pPr>
      <w:spacing w:after="0" w:line="200" w:lineRule="atLeast"/>
    </w:pPr>
    <w:r>
      <w:rPr>
        <w:rFonts w:ascii="Trebuchet MS" w:eastAsia="Times New Roman" w:hAnsi="Trebuchet MS" w:cs="Trebuchet MS"/>
        <w:sz w:val="20"/>
        <w:szCs w:val="20"/>
      </w:rPr>
      <w:t>Die Veranstaltungen stehen unter der Schirmherrschaft von:</w:t>
    </w:r>
  </w:p>
  <w:p w:rsidR="005669B3" w:rsidRDefault="001D4537">
    <w:pPr>
      <w:spacing w:after="0" w:line="200" w:lineRule="atLeast"/>
    </w:pPr>
    <w:r>
      <w:rPr>
        <w:noProof/>
        <w:lang w:val="it-IT" w:eastAsia="it-IT"/>
      </w:rPr>
      <w:drawing>
        <wp:anchor distT="0" distB="0" distL="0" distR="0" simplePos="0" relativeHeight="251656704" behindDoc="0" locked="0" layoutInCell="1" allowOverlap="1">
          <wp:simplePos x="0" y="0"/>
          <wp:positionH relativeFrom="column">
            <wp:posOffset>948690</wp:posOffset>
          </wp:positionH>
          <wp:positionV relativeFrom="paragraph">
            <wp:posOffset>68580</wp:posOffset>
          </wp:positionV>
          <wp:extent cx="535940" cy="427990"/>
          <wp:effectExtent l="1905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35940" cy="427990"/>
                  </a:xfrm>
                  <a:prstGeom prst="rect">
                    <a:avLst/>
                  </a:prstGeom>
                  <a:solidFill>
                    <a:srgbClr val="FFFFFF"/>
                  </a:solidFill>
                  <a:ln w="9525">
                    <a:noFill/>
                    <a:miter lim="800000"/>
                    <a:headEnd/>
                    <a:tailEnd/>
                  </a:ln>
                </pic:spPr>
              </pic:pic>
            </a:graphicData>
          </a:graphic>
        </wp:anchor>
      </w:drawing>
    </w:r>
    <w:r>
      <w:rPr>
        <w:noProof/>
        <w:lang w:val="it-IT" w:eastAsia="it-IT"/>
      </w:rPr>
      <w:drawing>
        <wp:anchor distT="0" distB="0" distL="0" distR="0" simplePos="0" relativeHeight="251657728" behindDoc="0" locked="0" layoutInCell="1" allowOverlap="1">
          <wp:simplePos x="0" y="0"/>
          <wp:positionH relativeFrom="column">
            <wp:posOffset>1607820</wp:posOffset>
          </wp:positionH>
          <wp:positionV relativeFrom="paragraph">
            <wp:posOffset>68580</wp:posOffset>
          </wp:positionV>
          <wp:extent cx="619125" cy="427990"/>
          <wp:effectExtent l="19050" t="0" r="9525"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619125" cy="427990"/>
                  </a:xfrm>
                  <a:prstGeom prst="rect">
                    <a:avLst/>
                  </a:prstGeom>
                  <a:solidFill>
                    <a:srgbClr val="FFFFFF"/>
                  </a:solidFill>
                  <a:ln w="9525">
                    <a:noFill/>
                    <a:miter lim="800000"/>
                    <a:headEnd/>
                    <a:tailEnd/>
                  </a:ln>
                </pic:spPr>
              </pic:pic>
            </a:graphicData>
          </a:graphic>
        </wp:anchor>
      </w:drawing>
    </w:r>
    <w:r>
      <w:rPr>
        <w:noProof/>
        <w:lang w:val="it-IT" w:eastAsia="it-IT"/>
      </w:rPr>
      <w:drawing>
        <wp:anchor distT="0" distB="0" distL="0" distR="0" simplePos="0" relativeHeight="251658752" behindDoc="0" locked="0" layoutInCell="1" allowOverlap="1">
          <wp:simplePos x="0" y="0"/>
          <wp:positionH relativeFrom="column">
            <wp:posOffset>2362835</wp:posOffset>
          </wp:positionH>
          <wp:positionV relativeFrom="paragraph">
            <wp:posOffset>68580</wp:posOffset>
          </wp:positionV>
          <wp:extent cx="2973705" cy="427990"/>
          <wp:effectExtent l="1905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srcRect/>
                  <a:stretch>
                    <a:fillRect/>
                  </a:stretch>
                </pic:blipFill>
                <pic:spPr bwMode="auto">
                  <a:xfrm>
                    <a:off x="0" y="0"/>
                    <a:ext cx="2973705" cy="427990"/>
                  </a:xfrm>
                  <a:prstGeom prst="rect">
                    <a:avLst/>
                  </a:prstGeom>
                  <a:solidFill>
                    <a:srgbClr val="FFFFFF"/>
                  </a:solidFill>
                  <a:ln w="9525">
                    <a:noFill/>
                    <a:miter lim="800000"/>
                    <a:headEnd/>
                    <a:tailEnd/>
                  </a:ln>
                </pic:spPr>
              </pic:pic>
            </a:graphicData>
          </a:graphic>
        </wp:anchor>
      </w:drawing>
    </w:r>
    <w:r>
      <w:rPr>
        <w:noProof/>
        <w:lang w:val="it-IT" w:eastAsia="it-IT"/>
      </w:rPr>
      <w:drawing>
        <wp:anchor distT="0" distB="0" distL="0" distR="0" simplePos="0" relativeHeight="251659776" behindDoc="0" locked="0" layoutInCell="1" allowOverlap="1">
          <wp:simplePos x="0" y="0"/>
          <wp:positionH relativeFrom="column">
            <wp:posOffset>0</wp:posOffset>
          </wp:positionH>
          <wp:positionV relativeFrom="paragraph">
            <wp:posOffset>90170</wp:posOffset>
          </wp:positionV>
          <wp:extent cx="889000" cy="427990"/>
          <wp:effectExtent l="19050" t="0" r="6350" b="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srcRect/>
                  <a:stretch>
                    <a:fillRect/>
                  </a:stretch>
                </pic:blipFill>
                <pic:spPr bwMode="auto">
                  <a:xfrm>
                    <a:off x="0" y="0"/>
                    <a:ext cx="889000" cy="427990"/>
                  </a:xfrm>
                  <a:prstGeom prst="rect">
                    <a:avLst/>
                  </a:prstGeom>
                  <a:solidFill>
                    <a:srgbClr val="FFFFFF"/>
                  </a:solidFill>
                  <a:ln w="9525">
                    <a:noFill/>
                    <a:miter lim="800000"/>
                    <a:headEnd/>
                    <a:tailEnd/>
                  </a:ln>
                </pic:spPr>
              </pic:pic>
            </a:graphicData>
          </a:graphic>
        </wp:anchor>
      </w:drawing>
    </w:r>
    <w:r w:rsidR="006B5598">
      <w:rPr>
        <w:rFonts w:ascii="Trebuchet MS" w:eastAsia="Times New Roman" w:hAnsi="Trebuchet MS" w:cs="Trebuchet MS"/>
        <w:b/>
        <w:bCs/>
        <w:color w:val="000000"/>
        <w:sz w:val="24"/>
        <w:szCs w:val="24"/>
      </w:rPr>
      <w:t xml:space="preserve">                         </w:t>
    </w:r>
    <w:r w:rsidR="006B5598">
      <w:rPr>
        <w:rFonts w:ascii="Trebuchet MS" w:eastAsia="Times New Roman" w:hAnsi="Trebuchet MS" w:cs="Trebuchet MS"/>
        <w:b/>
        <w:bCs/>
        <w:color w:val="000000"/>
        <w:sz w:val="24"/>
        <w:szCs w:val="24"/>
      </w:rPr>
      <w:tab/>
      <w:t xml:space="preserve"> </w:t>
    </w:r>
    <w:r w:rsidR="006B5598">
      <w:rPr>
        <w:rFonts w:ascii="Trebuchet MS" w:eastAsia="Times New Roman" w:hAnsi="Trebuchet MS" w:cs="Trebuchet MS"/>
        <w:b/>
        <w:bCs/>
        <w:color w:val="000000"/>
        <w:sz w:val="24"/>
        <w:szCs w:val="24"/>
      </w:rPr>
      <w:tab/>
    </w:r>
  </w:p>
  <w:p w:rsidR="005669B3" w:rsidRDefault="005669B3">
    <w:pPr>
      <w:pStyle w:val="VorformatierterText"/>
      <w:spacing w:line="240" w:lineRule="atLeast"/>
    </w:pPr>
  </w:p>
  <w:p w:rsidR="005669B3" w:rsidRDefault="005669B3">
    <w:pPr>
      <w:pStyle w:val="VorformatierterText"/>
      <w:spacing w:line="240" w:lineRule="atLeast"/>
    </w:pPr>
  </w:p>
  <w:p w:rsidR="005669B3" w:rsidRDefault="005669B3">
    <w:pPr>
      <w:pStyle w:val="VorformatierterText"/>
      <w:spacing w:line="240" w:lineRule="atLeast"/>
    </w:pPr>
  </w:p>
  <w:p w:rsidR="005669B3" w:rsidRDefault="006B5598">
    <w:pPr>
      <w:pStyle w:val="VorformatierterText"/>
      <w:spacing w:line="240" w:lineRule="atLeast"/>
      <w:rPr>
        <w:rFonts w:ascii="Trebuchet MS" w:hAnsi="Trebuchet MS" w:cs="Trebuchet MS"/>
      </w:rPr>
    </w:pPr>
    <w:r>
      <w:rPr>
        <w:rFonts w:ascii="Trebuchet MS" w:eastAsia="Times New Roman" w:hAnsi="Trebuchet MS" w:cs="Trebuchet MS"/>
        <w:b/>
        <w:bCs/>
        <w:color w:val="000000"/>
      </w:rPr>
      <w:t xml:space="preserve">Presse- und Öffentlichkeitsarbeit </w:t>
    </w:r>
    <w:r>
      <w:rPr>
        <w:rFonts w:ascii="Trebuchet MS" w:eastAsia="Times New Roman" w:hAnsi="Trebuchet MS" w:cs="Trebuchet MS"/>
        <w:color w:val="000000"/>
      </w:rPr>
      <w:t xml:space="preserve">| </w:t>
    </w:r>
    <w:r>
      <w:rPr>
        <w:rFonts w:ascii="Trebuchet MS" w:hAnsi="Trebuchet MS" w:cs="Trebuchet MS"/>
      </w:rPr>
      <w:t>Andrea Fleming</w:t>
    </w:r>
  </w:p>
  <w:p w:rsidR="005669B3" w:rsidRDefault="006B5598">
    <w:pPr>
      <w:pStyle w:val="VorformatierterText"/>
      <w:rPr>
        <w:rFonts w:ascii="Trebuchet MS" w:hAnsi="Trebuchet MS" w:cs="Trebuchet MS"/>
      </w:rPr>
    </w:pPr>
    <w:r>
      <w:rPr>
        <w:rFonts w:ascii="Trebuchet MS" w:hAnsi="Trebuchet MS" w:cs="Trebuchet MS"/>
      </w:rPr>
      <w:t xml:space="preserve">Tel. +49 (0) 89 57082903 :: mobil +49 (0) 172 8247486 | E-Mail: </w:t>
    </w:r>
    <w:hyperlink r:id="rId5" w:history="1">
      <w:r>
        <w:rPr>
          <w:rStyle w:val="Collegamentoipertestuale"/>
          <w:rFonts w:ascii="Trebuchet MS" w:hAnsi="Trebuchet MS" w:cs="Trebuchet MS"/>
        </w:rPr>
        <w:t>presse@miteinander-wie-sonst.org</w:t>
      </w:r>
    </w:hyperlink>
    <w:r>
      <w:rPr>
        <w:rFonts w:ascii="Trebuchet MS" w:hAnsi="Trebuchet MS" w:cs="Trebuchet MS"/>
      </w:rPr>
      <w:t xml:space="preserve"> </w:t>
    </w:r>
  </w:p>
  <w:p w:rsidR="005669B3" w:rsidRDefault="006B5598">
    <w:pPr>
      <w:pStyle w:val="VorformatierterText"/>
    </w:pPr>
    <w:r>
      <w:rPr>
        <w:rFonts w:ascii="Trebuchet MS" w:hAnsi="Trebuchet MS" w:cs="Trebuchet MS"/>
      </w:rPr>
      <w:t xml:space="preserve">Internet: </w:t>
    </w:r>
    <w:hyperlink r:id="rId6" w:history="1">
      <w:r>
        <w:rPr>
          <w:rStyle w:val="Collegamentoipertestuale"/>
          <w:rFonts w:ascii="Trebuchet MS" w:hAnsi="Trebuchet MS" w:cs="Trebuchet MS"/>
        </w:rPr>
        <w:t>www.miteinander-wie-sonst.de</w:t>
      </w:r>
    </w:hyperlink>
    <w:r>
      <w:rPr>
        <w:rFonts w:ascii="Trebuchet MS" w:hAnsi="Trebuchet MS" w:cs="Trebuchet MS"/>
      </w:rPr>
      <w:t xml:space="preserve"> und www.together4europe.org</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B3" w:rsidRDefault="005669B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766" w:rsidRDefault="00832766">
      <w:pPr>
        <w:spacing w:after="0" w:line="240" w:lineRule="auto"/>
      </w:pPr>
      <w:r>
        <w:separator/>
      </w:r>
    </w:p>
  </w:footnote>
  <w:footnote w:type="continuationSeparator" w:id="0">
    <w:p w:rsidR="00832766" w:rsidRDefault="008327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B3" w:rsidRDefault="001D4537">
    <w:pPr>
      <w:pStyle w:val="Intestazione"/>
    </w:pPr>
    <w:r>
      <w:rPr>
        <w:noProof/>
        <w:lang w:val="it-IT" w:eastAsia="it-IT"/>
      </w:rPr>
      <w:drawing>
        <wp:anchor distT="0" distB="0" distL="0" distR="0" simplePos="0" relativeHeight="251655680" behindDoc="0" locked="0" layoutInCell="1" allowOverlap="1">
          <wp:simplePos x="0" y="0"/>
          <wp:positionH relativeFrom="column">
            <wp:align>center</wp:align>
          </wp:positionH>
          <wp:positionV relativeFrom="paragraph">
            <wp:posOffset>0</wp:posOffset>
          </wp:positionV>
          <wp:extent cx="6136640" cy="1070610"/>
          <wp:effectExtent l="19050" t="0" r="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36640" cy="1070610"/>
                  </a:xfrm>
                  <a:prstGeom prst="rect">
                    <a:avLst/>
                  </a:prstGeom>
                  <a:solidFill>
                    <a:srgbClr val="FFFFFF"/>
                  </a:solidFill>
                  <a:ln w="9525">
                    <a:noFill/>
                    <a:miter lim="800000"/>
                    <a:headEnd/>
                    <a:tailEnd/>
                  </a:ln>
                </pic:spPr>
              </pic:pic>
            </a:graphicData>
          </a:graphic>
        </wp:anchor>
      </w:drawing>
    </w:r>
  </w:p>
  <w:p w:rsidR="005669B3" w:rsidRDefault="005669B3">
    <w:pPr>
      <w:pStyle w:val="Intestazione"/>
    </w:pPr>
  </w:p>
  <w:p w:rsidR="005669B3" w:rsidRDefault="005669B3">
    <w:pPr>
      <w:pStyle w:val="Intestazione"/>
    </w:pPr>
  </w:p>
  <w:p w:rsidR="005669B3" w:rsidRDefault="005669B3">
    <w:pPr>
      <w:pStyle w:val="Intestazione"/>
    </w:pPr>
  </w:p>
  <w:p w:rsidR="005669B3" w:rsidRDefault="006B5598">
    <w:pPr>
      <w:pStyle w:val="Intestazione"/>
      <w:jc w:val="right"/>
    </w:pPr>
    <w:r>
      <w:t>Pressemeldung vom 01.07.2016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B3" w:rsidRDefault="005669B3"/>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
  <w:rsids>
    <w:rsidRoot w:val="001D4537"/>
    <w:rsid w:val="001D4537"/>
    <w:rsid w:val="005669B3"/>
    <w:rsid w:val="006B5598"/>
    <w:rsid w:val="00832766"/>
    <w:rsid w:val="00FA662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669B3"/>
    <w:pPr>
      <w:suppressAutoHyphens/>
      <w:spacing w:after="200" w:line="276" w:lineRule="auto"/>
    </w:pPr>
    <w:rPr>
      <w:rFonts w:ascii="Calibri" w:eastAsia="Lucida Sans Unicode" w:hAnsi="Calibri" w:cs="font320"/>
      <w:kern w:val="1"/>
      <w:sz w:val="22"/>
      <w:szCs w:val="22"/>
      <w:lang w:val="de-DE"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5669B3"/>
  </w:style>
  <w:style w:type="character" w:customStyle="1" w:styleId="Absatz-Standardschriftart">
    <w:name w:val="Absatz-Standardschriftart"/>
    <w:rsid w:val="005669B3"/>
  </w:style>
  <w:style w:type="character" w:customStyle="1" w:styleId="WW8Num1z0">
    <w:name w:val="WW8Num1z0"/>
    <w:rsid w:val="005669B3"/>
    <w:rPr>
      <w:rFonts w:ascii="Symbol" w:hAnsi="Symbol" w:cs="Symbol"/>
      <w:lang w:val="en-GB"/>
    </w:rPr>
  </w:style>
  <w:style w:type="character" w:customStyle="1" w:styleId="WW8Num2z0">
    <w:name w:val="WW8Num2z0"/>
    <w:rsid w:val="005669B3"/>
  </w:style>
  <w:style w:type="character" w:customStyle="1" w:styleId="WW8Num2z1">
    <w:name w:val="WW8Num2z1"/>
    <w:rsid w:val="005669B3"/>
  </w:style>
  <w:style w:type="character" w:customStyle="1" w:styleId="WW8Num2z2">
    <w:name w:val="WW8Num2z2"/>
    <w:rsid w:val="005669B3"/>
  </w:style>
  <w:style w:type="character" w:customStyle="1" w:styleId="WW8Num2z3">
    <w:name w:val="WW8Num2z3"/>
    <w:rsid w:val="005669B3"/>
  </w:style>
  <w:style w:type="character" w:customStyle="1" w:styleId="WW8Num2z4">
    <w:name w:val="WW8Num2z4"/>
    <w:rsid w:val="005669B3"/>
  </w:style>
  <w:style w:type="character" w:customStyle="1" w:styleId="WW8Num2z5">
    <w:name w:val="WW8Num2z5"/>
    <w:rsid w:val="005669B3"/>
  </w:style>
  <w:style w:type="character" w:customStyle="1" w:styleId="WW8Num2z6">
    <w:name w:val="WW8Num2z6"/>
    <w:rsid w:val="005669B3"/>
  </w:style>
  <w:style w:type="character" w:customStyle="1" w:styleId="WW8Num2z7">
    <w:name w:val="WW8Num2z7"/>
    <w:rsid w:val="005669B3"/>
  </w:style>
  <w:style w:type="character" w:customStyle="1" w:styleId="WW8Num2z8">
    <w:name w:val="WW8Num2z8"/>
    <w:rsid w:val="005669B3"/>
  </w:style>
  <w:style w:type="character" w:customStyle="1" w:styleId="Absatz-Standardschriftart2">
    <w:name w:val="Absatz-Standardschriftart2"/>
    <w:rsid w:val="005669B3"/>
  </w:style>
  <w:style w:type="character" w:customStyle="1" w:styleId="WW-Absatz-Standardschriftart">
    <w:name w:val="WW-Absatz-Standardschriftart"/>
    <w:rsid w:val="005669B3"/>
  </w:style>
  <w:style w:type="character" w:customStyle="1" w:styleId="Absatz-Standardschriftart1">
    <w:name w:val="Absatz-Standardschriftart1"/>
    <w:rsid w:val="005669B3"/>
  </w:style>
  <w:style w:type="character" w:customStyle="1" w:styleId="WW-Absatz-Standardschriftart1">
    <w:name w:val="WW-Absatz-Standardschriftart1"/>
    <w:rsid w:val="005669B3"/>
  </w:style>
  <w:style w:type="character" w:customStyle="1" w:styleId="WW-Absatz-Standardschriftart11">
    <w:name w:val="WW-Absatz-Standardschriftart11"/>
    <w:rsid w:val="005669B3"/>
  </w:style>
  <w:style w:type="character" w:customStyle="1" w:styleId="WW-Absatz-Standardschriftart111">
    <w:name w:val="WW-Absatz-Standardschriftart111"/>
    <w:rsid w:val="005669B3"/>
  </w:style>
  <w:style w:type="character" w:customStyle="1" w:styleId="WW-Absatz-Standardschriftart1111">
    <w:name w:val="WW-Absatz-Standardschriftart1111"/>
    <w:rsid w:val="005669B3"/>
  </w:style>
  <w:style w:type="character" w:customStyle="1" w:styleId="WW-Absatz-Standardschriftart11111">
    <w:name w:val="WW-Absatz-Standardschriftart11111"/>
    <w:rsid w:val="005669B3"/>
  </w:style>
  <w:style w:type="character" w:customStyle="1" w:styleId="WW-Absatz-Standardschriftart111111">
    <w:name w:val="WW-Absatz-Standardschriftart111111"/>
    <w:rsid w:val="005669B3"/>
  </w:style>
  <w:style w:type="character" w:customStyle="1" w:styleId="WW-Absatz-Standardschriftart1111111">
    <w:name w:val="WW-Absatz-Standardschriftart1111111"/>
    <w:rsid w:val="005669B3"/>
  </w:style>
  <w:style w:type="character" w:customStyle="1" w:styleId="WW-Absatz-Standardschriftart11111111">
    <w:name w:val="WW-Absatz-Standardschriftart11111111"/>
    <w:rsid w:val="005669B3"/>
  </w:style>
  <w:style w:type="character" w:customStyle="1" w:styleId="WW-Absatz-Standardschriftart111111111">
    <w:name w:val="WW-Absatz-Standardschriftart111111111"/>
    <w:rsid w:val="005669B3"/>
  </w:style>
  <w:style w:type="character" w:customStyle="1" w:styleId="WW-Absatz-Standardschriftart1111111111">
    <w:name w:val="WW-Absatz-Standardschriftart1111111111"/>
    <w:rsid w:val="005669B3"/>
  </w:style>
  <w:style w:type="character" w:customStyle="1" w:styleId="WW-Absatz-Standardschriftart11111111111">
    <w:name w:val="WW-Absatz-Standardschriftart11111111111"/>
    <w:rsid w:val="005669B3"/>
  </w:style>
  <w:style w:type="character" w:customStyle="1" w:styleId="Carpredefinitoparagrafo10">
    <w:name w:val="Car. predefinito paragrafo1"/>
    <w:rsid w:val="005669B3"/>
  </w:style>
  <w:style w:type="character" w:styleId="Enfasigrassetto">
    <w:name w:val="Strong"/>
    <w:qFormat/>
    <w:rsid w:val="005669B3"/>
    <w:rPr>
      <w:b/>
      <w:bCs/>
    </w:rPr>
  </w:style>
  <w:style w:type="character" w:styleId="Collegamentoipertestuale">
    <w:name w:val="Hyperlink"/>
    <w:rsid w:val="005669B3"/>
    <w:rPr>
      <w:color w:val="000080"/>
      <w:u w:val="single"/>
    </w:rPr>
  </w:style>
  <w:style w:type="character" w:customStyle="1" w:styleId="WW8Num3z0">
    <w:name w:val="WW8Num3z0"/>
    <w:rsid w:val="005669B3"/>
    <w:rPr>
      <w:rFonts w:ascii="Symbol" w:hAnsi="Symbol" w:cs="Symbol"/>
    </w:rPr>
  </w:style>
  <w:style w:type="character" w:customStyle="1" w:styleId="WW8Num3z1">
    <w:name w:val="WW8Num3z1"/>
    <w:rsid w:val="005669B3"/>
    <w:rPr>
      <w:rFonts w:ascii="Courier New" w:hAnsi="Courier New" w:cs="Courier New"/>
    </w:rPr>
  </w:style>
  <w:style w:type="character" w:customStyle="1" w:styleId="WW8Num3z2">
    <w:name w:val="WW8Num3z2"/>
    <w:rsid w:val="005669B3"/>
    <w:rPr>
      <w:rFonts w:ascii="Wingdings" w:hAnsi="Wingdings" w:cs="Wingdings"/>
    </w:rPr>
  </w:style>
  <w:style w:type="paragraph" w:customStyle="1" w:styleId="berschrift">
    <w:name w:val="Überschrift"/>
    <w:basedOn w:val="Normale"/>
    <w:next w:val="Corpodeltesto"/>
    <w:rsid w:val="005669B3"/>
    <w:pPr>
      <w:keepNext/>
      <w:spacing w:before="240" w:after="120"/>
    </w:pPr>
    <w:rPr>
      <w:rFonts w:ascii="Arial" w:eastAsia="Arial Unicode MS" w:hAnsi="Arial" w:cs="Tahoma"/>
      <w:sz w:val="28"/>
      <w:szCs w:val="28"/>
    </w:rPr>
  </w:style>
  <w:style w:type="paragraph" w:styleId="Corpodeltesto">
    <w:name w:val="Body Text"/>
    <w:basedOn w:val="Normale"/>
    <w:rsid w:val="005669B3"/>
    <w:pPr>
      <w:spacing w:after="120"/>
    </w:pPr>
  </w:style>
  <w:style w:type="paragraph" w:styleId="Elenco">
    <w:name w:val="List"/>
    <w:basedOn w:val="Corpodeltesto"/>
    <w:rsid w:val="005669B3"/>
    <w:rPr>
      <w:rFonts w:cs="Tahoma"/>
    </w:rPr>
  </w:style>
  <w:style w:type="paragraph" w:customStyle="1" w:styleId="Beschriftung">
    <w:name w:val="Beschriftung"/>
    <w:basedOn w:val="Normale"/>
    <w:rsid w:val="005669B3"/>
    <w:pPr>
      <w:suppressLineNumbers/>
      <w:spacing w:before="120" w:after="120"/>
    </w:pPr>
    <w:rPr>
      <w:i/>
      <w:iCs/>
      <w:sz w:val="24"/>
      <w:szCs w:val="24"/>
    </w:rPr>
  </w:style>
  <w:style w:type="paragraph" w:customStyle="1" w:styleId="Verzeichnis">
    <w:name w:val="Verzeichnis"/>
    <w:basedOn w:val="Normale"/>
    <w:rsid w:val="005669B3"/>
    <w:pPr>
      <w:suppressLineNumbers/>
    </w:pPr>
    <w:rPr>
      <w:rFonts w:cs="Tahoma"/>
    </w:rPr>
  </w:style>
  <w:style w:type="paragraph" w:customStyle="1" w:styleId="Beschriftung2">
    <w:name w:val="Beschriftung2"/>
    <w:basedOn w:val="Normale"/>
    <w:rsid w:val="005669B3"/>
    <w:pPr>
      <w:suppressLineNumbers/>
      <w:spacing w:before="120" w:after="120"/>
    </w:pPr>
    <w:rPr>
      <w:rFonts w:cs="Mangal"/>
      <w:i/>
      <w:iCs/>
      <w:sz w:val="24"/>
      <w:szCs w:val="24"/>
    </w:rPr>
  </w:style>
  <w:style w:type="paragraph" w:customStyle="1" w:styleId="Beschriftung1">
    <w:name w:val="Beschriftung1"/>
    <w:basedOn w:val="Normale"/>
    <w:rsid w:val="005669B3"/>
    <w:pPr>
      <w:suppressLineNumbers/>
      <w:spacing w:before="120" w:after="120"/>
    </w:pPr>
    <w:rPr>
      <w:rFonts w:cs="Tahoma"/>
      <w:i/>
      <w:iCs/>
      <w:sz w:val="24"/>
      <w:szCs w:val="24"/>
    </w:rPr>
  </w:style>
  <w:style w:type="paragraph" w:customStyle="1" w:styleId="VorformatierterText">
    <w:name w:val="Vorformatierter Text"/>
    <w:basedOn w:val="Normale"/>
    <w:rsid w:val="005669B3"/>
    <w:pPr>
      <w:spacing w:after="0"/>
    </w:pPr>
    <w:rPr>
      <w:rFonts w:ascii="Courier New" w:eastAsia="Courier New" w:hAnsi="Courier New" w:cs="Courier New"/>
      <w:sz w:val="20"/>
      <w:szCs w:val="20"/>
    </w:rPr>
  </w:style>
  <w:style w:type="paragraph" w:styleId="Pidipagina">
    <w:name w:val="footer"/>
    <w:basedOn w:val="Normale"/>
    <w:rsid w:val="005669B3"/>
    <w:pPr>
      <w:suppressLineNumbers/>
      <w:tabs>
        <w:tab w:val="center" w:pos="4842"/>
        <w:tab w:val="right" w:pos="9685"/>
      </w:tabs>
    </w:pPr>
  </w:style>
  <w:style w:type="paragraph" w:styleId="Intestazione">
    <w:name w:val="header"/>
    <w:basedOn w:val="Normale"/>
    <w:rsid w:val="005669B3"/>
    <w:pPr>
      <w:suppressLineNumbers/>
      <w:tabs>
        <w:tab w:val="center" w:pos="4842"/>
        <w:tab w:val="right" w:pos="9685"/>
      </w:tabs>
    </w:pPr>
  </w:style>
  <w:style w:type="paragraph" w:customStyle="1" w:styleId="courier">
    <w:name w:val="courier"/>
    <w:basedOn w:val="Normale"/>
    <w:rsid w:val="005669B3"/>
    <w:pPr>
      <w:spacing w:line="360" w:lineRule="auto"/>
      <w:ind w:left="1021" w:right="-357" w:hanging="1021"/>
    </w:pPr>
    <w:rPr>
      <w:rFonts w:ascii="Courier New" w:hAnsi="Courier New" w:cs="Courier New"/>
      <w:szCs w:val="20"/>
    </w:rPr>
  </w:style>
  <w:style w:type="paragraph" w:customStyle="1" w:styleId="Paragrafoelenco1">
    <w:name w:val="Paragrafo elenco1"/>
    <w:basedOn w:val="Normale"/>
    <w:rsid w:val="005669B3"/>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http://www.miteinander-wie-sonst.de/" TargetMode="External"/><Relationship Id="rId5" Type="http://schemas.openxmlformats.org/officeDocument/2006/relationships/hyperlink" Target="mailto:presse@miteinander-wie-sonst.org" TargetMode="External"/><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352</Words>
  <Characters>2012</Characters>
  <Application>Microsoft Office Word</Application>
  <DocSecurity>0</DocSecurity>
  <Lines>16</Lines>
  <Paragraphs>4</Paragraphs>
  <ScaleCrop>false</ScaleCrop>
  <Company>Hewlett-Packard Company</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Fleming</dc:creator>
  <cp:lastModifiedBy>konib</cp:lastModifiedBy>
  <cp:revision>2</cp:revision>
  <cp:lastPrinted>2016-07-01T11:49:00Z</cp:lastPrinted>
  <dcterms:created xsi:type="dcterms:W3CDTF">2016-07-02T08:26:00Z</dcterms:created>
  <dcterms:modified xsi:type="dcterms:W3CDTF">2016-07-02T08:26:00Z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